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47FB" w14:textId="401D1AAA" w:rsidR="00667592" w:rsidRPr="00362675" w:rsidRDefault="00667592" w:rsidP="00667592">
      <w:pPr>
        <w:spacing w:after="225" w:line="360" w:lineRule="atLeast"/>
        <w:jc w:val="center"/>
        <w:rPr>
          <w:rFonts w:ascii="Arial" w:eastAsia="Times New Roman" w:hAnsi="Arial" w:cs="Arial"/>
          <w:b/>
        </w:rPr>
      </w:pPr>
      <w:r w:rsidRPr="00362675">
        <w:rPr>
          <w:rFonts w:ascii="Arial" w:eastAsia="Times New Roman" w:hAnsi="Arial" w:cs="Arial"/>
          <w:b/>
        </w:rPr>
        <w:t>The Health Insurance Premium Payment program (HIPP)</w:t>
      </w:r>
    </w:p>
    <w:p w14:paraId="3068E180" w14:textId="77777777" w:rsidR="00667592" w:rsidRPr="00362675" w:rsidRDefault="00667592" w:rsidP="00E879CA">
      <w:pPr>
        <w:spacing w:after="225" w:line="360" w:lineRule="atLeast"/>
        <w:rPr>
          <w:rFonts w:ascii="Arial" w:eastAsia="Times New Roman" w:hAnsi="Arial" w:cs="Arial"/>
        </w:rPr>
      </w:pPr>
    </w:p>
    <w:p w14:paraId="69CF9EC7" w14:textId="6CEF38F4" w:rsidR="00E879CA" w:rsidRPr="00362675" w:rsidRDefault="00E879CA" w:rsidP="00E879CA">
      <w:pPr>
        <w:spacing w:after="225" w:line="360" w:lineRule="atLeast"/>
        <w:rPr>
          <w:rFonts w:ascii="Arial" w:eastAsia="Times New Roman" w:hAnsi="Arial" w:cs="Arial"/>
        </w:rPr>
      </w:pPr>
      <w:r w:rsidRPr="00362675">
        <w:rPr>
          <w:rFonts w:ascii="Arial" w:eastAsia="Times New Roman" w:hAnsi="Arial" w:cs="Arial"/>
        </w:rPr>
        <w:t>The Health Insurance Premium Payment program (HIPP) is a Medicaid program that helps families pay for private health insurance. This program is for families who have:</w:t>
      </w:r>
    </w:p>
    <w:p w14:paraId="5D0B2C95" w14:textId="77777777" w:rsidR="00E879CA" w:rsidRPr="00362675" w:rsidRDefault="00E879CA" w:rsidP="00E879CA">
      <w:pPr>
        <w:numPr>
          <w:ilvl w:val="0"/>
          <w:numId w:val="1"/>
        </w:numPr>
        <w:spacing w:before="100" w:beforeAutospacing="1" w:after="100" w:afterAutospacing="1" w:line="360" w:lineRule="atLeast"/>
        <w:rPr>
          <w:rFonts w:ascii="Arial" w:eastAsia="Times New Roman" w:hAnsi="Arial" w:cs="Arial"/>
        </w:rPr>
      </w:pPr>
      <w:r w:rsidRPr="00362675">
        <w:rPr>
          <w:rFonts w:ascii="Arial" w:eastAsia="Times New Roman" w:hAnsi="Arial" w:cs="Arial"/>
        </w:rPr>
        <w:t>A parent or a spouse with private health insurance</w:t>
      </w:r>
    </w:p>
    <w:p w14:paraId="10BA2660" w14:textId="77777777" w:rsidR="00E879CA" w:rsidRPr="00362675" w:rsidRDefault="00E879CA" w:rsidP="00E879CA">
      <w:pPr>
        <w:numPr>
          <w:ilvl w:val="0"/>
          <w:numId w:val="1"/>
        </w:numPr>
        <w:spacing w:before="100" w:beforeAutospacing="1" w:after="100" w:afterAutospacing="1" w:line="360" w:lineRule="atLeast"/>
        <w:rPr>
          <w:rFonts w:ascii="Arial" w:eastAsia="Times New Roman" w:hAnsi="Arial" w:cs="Arial"/>
        </w:rPr>
      </w:pPr>
      <w:r w:rsidRPr="00362675">
        <w:rPr>
          <w:rFonts w:ascii="Arial" w:eastAsia="Times New Roman" w:hAnsi="Arial" w:cs="Arial"/>
        </w:rPr>
        <w:t>A child or a spouse with Medicaid</w:t>
      </w:r>
    </w:p>
    <w:p w14:paraId="505EE6F9" w14:textId="77777777" w:rsidR="00E879CA" w:rsidRPr="00362675" w:rsidRDefault="00E879CA" w:rsidP="00E879CA">
      <w:pPr>
        <w:spacing w:after="225" w:line="360" w:lineRule="atLeast"/>
        <w:rPr>
          <w:rFonts w:ascii="Arial" w:eastAsia="Times New Roman" w:hAnsi="Arial" w:cs="Arial"/>
        </w:rPr>
      </w:pPr>
      <w:r w:rsidRPr="00362675">
        <w:rPr>
          <w:rFonts w:ascii="Arial" w:eastAsia="Times New Roman" w:hAnsi="Arial" w:cs="Arial"/>
        </w:rPr>
        <w:t>Medicaid will pay the family's private health insurance if the total cost of that insurance is less than the total cost of care with Medicaid. The total cost of the private insurance includes the premium, coinsurance and deductibles.</w:t>
      </w:r>
    </w:p>
    <w:p w14:paraId="63CFBDD7" w14:textId="4B23210E" w:rsidR="00E879CA" w:rsidRPr="00362675" w:rsidRDefault="00E879CA" w:rsidP="00E879CA">
      <w:pPr>
        <w:spacing w:after="225" w:line="360" w:lineRule="atLeast"/>
        <w:rPr>
          <w:rFonts w:ascii="Arial" w:eastAsia="Times New Roman" w:hAnsi="Arial" w:cs="Arial"/>
        </w:rPr>
      </w:pPr>
      <w:r w:rsidRPr="00362675">
        <w:rPr>
          <w:rFonts w:ascii="Arial" w:eastAsia="Times New Roman" w:hAnsi="Arial" w:cs="Arial"/>
        </w:rPr>
        <w:t>If approved, Medicaid may pay the private health insurance costs for the entire family</w:t>
      </w:r>
      <w:r w:rsidR="002E1648">
        <w:rPr>
          <w:rFonts w:ascii="Arial" w:eastAsia="Times New Roman" w:hAnsi="Arial" w:cs="Arial"/>
        </w:rPr>
        <w:t>,</w:t>
      </w:r>
      <w:r w:rsidRPr="00362675">
        <w:rPr>
          <w:rFonts w:ascii="Arial" w:eastAsia="Times New Roman" w:hAnsi="Arial" w:cs="Arial"/>
        </w:rPr>
        <w:t xml:space="preserve"> not just for the family members who get Medicaid. The family will get services through the private health insurance plan.</w:t>
      </w:r>
    </w:p>
    <w:p w14:paraId="29D76B84" w14:textId="77777777" w:rsidR="00463B41" w:rsidRPr="00362675" w:rsidRDefault="00463B41" w:rsidP="00463B41">
      <w:pPr>
        <w:spacing w:after="225" w:line="360" w:lineRule="atLeast"/>
        <w:rPr>
          <w:rFonts w:ascii="Arial" w:eastAsia="Times New Roman" w:hAnsi="Arial" w:cs="Arial"/>
        </w:rPr>
      </w:pPr>
      <w:r w:rsidRPr="00362675">
        <w:rPr>
          <w:rFonts w:ascii="Arial" w:eastAsia="Times New Roman" w:hAnsi="Arial" w:cs="Arial"/>
        </w:rPr>
        <w:t>To learn more or to apply, visit the </w:t>
      </w:r>
      <w:hyperlink r:id="rId5" w:tgtFrame="_blank" w:history="1">
        <w:r w:rsidRPr="00362675">
          <w:rPr>
            <w:rFonts w:ascii="Arial" w:eastAsia="Times New Roman" w:hAnsi="Arial" w:cs="Arial"/>
            <w:u w:val="single"/>
          </w:rPr>
          <w:t>Get HIPP Texas website </w:t>
        </w:r>
        <w:r w:rsidRPr="00362675">
          <w:rPr>
            <w:rFonts w:ascii="Arial" w:eastAsia="Times New Roman" w:hAnsi="Arial" w:cs="Arial"/>
          </w:rPr>
          <w:t>(link is external)</w:t>
        </w:r>
      </w:hyperlink>
      <w:r w:rsidRPr="00362675">
        <w:rPr>
          <w:rFonts w:ascii="Arial" w:eastAsia="Times New Roman" w:hAnsi="Arial" w:cs="Arial"/>
        </w:rPr>
        <w:t> or call us toll-free at 800-440-0493. You also can ask us to send you an application. Write to:</w:t>
      </w:r>
    </w:p>
    <w:p w14:paraId="48448058" w14:textId="4BAFBBC0" w:rsidR="00463B41" w:rsidRDefault="00463B41" w:rsidP="00463B41">
      <w:pPr>
        <w:spacing w:after="225" w:line="360" w:lineRule="atLeast"/>
        <w:rPr>
          <w:rFonts w:ascii="Arial" w:eastAsia="Times New Roman" w:hAnsi="Arial" w:cs="Arial"/>
        </w:rPr>
      </w:pPr>
      <w:r w:rsidRPr="00362675">
        <w:rPr>
          <w:rFonts w:ascii="Arial" w:eastAsia="Times New Roman" w:hAnsi="Arial" w:cs="Arial"/>
        </w:rPr>
        <w:t>Texas Health and Human Services Commission</w:t>
      </w:r>
      <w:r w:rsidRPr="00362675">
        <w:rPr>
          <w:rFonts w:ascii="Arial" w:eastAsia="Times New Roman" w:hAnsi="Arial" w:cs="Arial"/>
        </w:rPr>
        <w:br/>
        <w:t>TMHP-HIPP</w:t>
      </w:r>
      <w:r w:rsidRPr="00362675">
        <w:rPr>
          <w:rFonts w:ascii="Arial" w:eastAsia="Times New Roman" w:hAnsi="Arial" w:cs="Arial"/>
        </w:rPr>
        <w:br/>
        <w:t>P.O. Box 201120</w:t>
      </w:r>
      <w:r w:rsidRPr="00362675">
        <w:rPr>
          <w:rFonts w:ascii="Arial" w:eastAsia="Times New Roman" w:hAnsi="Arial" w:cs="Arial"/>
        </w:rPr>
        <w:br/>
        <w:t>Austin, Texas 78720-1120</w:t>
      </w:r>
    </w:p>
    <w:p w14:paraId="2FC28A65" w14:textId="55440FC5" w:rsidR="00505A13" w:rsidRDefault="00505A13" w:rsidP="00463B41">
      <w:pPr>
        <w:spacing w:after="225" w:line="360" w:lineRule="atLeast"/>
        <w:rPr>
          <w:rFonts w:ascii="Arial" w:eastAsia="Times New Roman" w:hAnsi="Arial" w:cs="Arial"/>
        </w:rPr>
      </w:pPr>
    </w:p>
    <w:p w14:paraId="2F1DD28F" w14:textId="77777777" w:rsidR="00505A13" w:rsidRPr="00362675" w:rsidRDefault="00505A13" w:rsidP="00463B41">
      <w:pPr>
        <w:spacing w:after="225" w:line="360" w:lineRule="atLeast"/>
        <w:rPr>
          <w:rFonts w:ascii="Arial" w:eastAsia="Times New Roman" w:hAnsi="Arial" w:cs="Arial"/>
        </w:rPr>
      </w:pPr>
      <w:bookmarkStart w:id="0" w:name="_GoBack"/>
      <w:bookmarkEnd w:id="0"/>
    </w:p>
    <w:p w14:paraId="0797E444" w14:textId="77777777" w:rsidR="00505A13" w:rsidRDefault="00505A13" w:rsidP="00505A13">
      <w:pPr>
        <w:pStyle w:val="NoSpacing"/>
        <w:jc w:val="center"/>
        <w:rPr>
          <w:rFonts w:cstheme="minorHAnsi"/>
          <w:noProof/>
          <w:sz w:val="20"/>
          <w:szCs w:val="20"/>
        </w:rPr>
      </w:pPr>
      <w:r>
        <w:rPr>
          <w:rFonts w:cstheme="minorHAnsi"/>
          <w:noProof/>
          <w:sz w:val="20"/>
          <w:szCs w:val="20"/>
        </w:rPr>
        <w:t>The Arc of Greater Houston</w:t>
      </w:r>
    </w:p>
    <w:p w14:paraId="691CAD9D" w14:textId="77777777" w:rsidR="00505A13" w:rsidRDefault="00505A13" w:rsidP="00505A13">
      <w:pPr>
        <w:pStyle w:val="NoSpacing"/>
        <w:jc w:val="center"/>
        <w:rPr>
          <w:rFonts w:cstheme="minorHAnsi"/>
          <w:noProof/>
          <w:sz w:val="20"/>
          <w:szCs w:val="20"/>
        </w:rPr>
      </w:pPr>
      <w:r>
        <w:rPr>
          <w:rFonts w:cstheme="minorHAnsi"/>
          <w:noProof/>
          <w:sz w:val="20"/>
          <w:szCs w:val="20"/>
        </w:rPr>
        <w:t>PO Box 924168</w:t>
      </w:r>
    </w:p>
    <w:p w14:paraId="0C3D409F" w14:textId="77777777" w:rsidR="00505A13" w:rsidRDefault="00505A13" w:rsidP="00505A13">
      <w:pPr>
        <w:pStyle w:val="NoSpacing"/>
        <w:jc w:val="center"/>
        <w:rPr>
          <w:rFonts w:cstheme="minorHAnsi"/>
          <w:noProof/>
          <w:sz w:val="20"/>
          <w:szCs w:val="20"/>
        </w:rPr>
      </w:pPr>
      <w:r>
        <w:rPr>
          <w:rFonts w:cstheme="minorHAnsi"/>
          <w:noProof/>
          <w:sz w:val="20"/>
          <w:szCs w:val="20"/>
        </w:rPr>
        <w:t>Houston, Texas 77292</w:t>
      </w:r>
    </w:p>
    <w:p w14:paraId="24E4CC69" w14:textId="77777777" w:rsidR="00505A13" w:rsidRDefault="00505A13" w:rsidP="00505A13">
      <w:pPr>
        <w:pStyle w:val="NoSpacing"/>
        <w:jc w:val="center"/>
        <w:rPr>
          <w:rFonts w:cstheme="minorHAnsi"/>
          <w:noProof/>
          <w:sz w:val="20"/>
          <w:szCs w:val="20"/>
        </w:rPr>
      </w:pPr>
      <w:r>
        <w:rPr>
          <w:rFonts w:cstheme="minorHAnsi"/>
          <w:noProof/>
          <w:sz w:val="20"/>
          <w:szCs w:val="20"/>
        </w:rPr>
        <w:t>713-957-1600 (o)</w:t>
      </w:r>
    </w:p>
    <w:p w14:paraId="788297E8" w14:textId="77777777" w:rsidR="00505A13" w:rsidRDefault="00505A13" w:rsidP="00505A13">
      <w:pPr>
        <w:pStyle w:val="NoSpacing"/>
        <w:jc w:val="center"/>
        <w:rPr>
          <w:rFonts w:cstheme="minorHAnsi"/>
          <w:noProof/>
          <w:sz w:val="20"/>
          <w:szCs w:val="20"/>
        </w:rPr>
      </w:pPr>
      <w:hyperlink r:id="rId6" w:tgtFrame="_blank" w:history="1">
        <w:r>
          <w:rPr>
            <w:rStyle w:val="Hyperlink"/>
            <w:rFonts w:eastAsiaTheme="minorEastAsia" w:cstheme="minorHAnsi"/>
            <w:b/>
            <w:bCs/>
            <w:noProof/>
            <w:sz w:val="20"/>
            <w:szCs w:val="20"/>
          </w:rPr>
          <w:t>http://www.aogh.org/</w:t>
        </w:r>
      </w:hyperlink>
    </w:p>
    <w:p w14:paraId="450A8F39" w14:textId="7312FFB9" w:rsidR="00505A13" w:rsidRDefault="00505A13" w:rsidP="00505A13">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30BE177D" wp14:editId="262BA2D8">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412565EF" w14:textId="77777777" w:rsidR="00505A13" w:rsidRDefault="00505A13" w:rsidP="00505A13">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0219B941" w14:textId="77777777" w:rsidR="008F31CD" w:rsidRDefault="00505A13"/>
    <w:sectPr w:rsidR="008F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440"/>
    <w:multiLevelType w:val="multilevel"/>
    <w:tmpl w:val="35C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CA"/>
    <w:rsid w:val="002E1648"/>
    <w:rsid w:val="00362675"/>
    <w:rsid w:val="00463B41"/>
    <w:rsid w:val="004D1758"/>
    <w:rsid w:val="00505A13"/>
    <w:rsid w:val="00667592"/>
    <w:rsid w:val="00846D3A"/>
    <w:rsid w:val="00D817C1"/>
    <w:rsid w:val="00E8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6EBD"/>
  <w15:chartTrackingRefBased/>
  <w15:docId w15:val="{F359C097-59E5-4185-8D85-A59AE698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9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A13"/>
    <w:rPr>
      <w:strike w:val="0"/>
      <w:dstrike w:val="0"/>
      <w:color w:val="1F2C9A"/>
      <w:u w:val="none"/>
      <w:effect w:val="none"/>
    </w:rPr>
  </w:style>
  <w:style w:type="paragraph" w:styleId="NoSpacing">
    <w:name w:val="No Spacing"/>
    <w:uiPriority w:val="1"/>
    <w:qFormat/>
    <w:rsid w:val="00505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gh.org/" TargetMode="External"/><Relationship Id="rId5" Type="http://schemas.openxmlformats.org/officeDocument/2006/relationships/hyperlink" Target="https://gethipptexa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Howard-Herbein</dc:creator>
  <cp:keywords/>
  <dc:description/>
  <cp:lastModifiedBy>Michelle Howard-Herbein</cp:lastModifiedBy>
  <cp:revision>4</cp:revision>
  <dcterms:created xsi:type="dcterms:W3CDTF">2018-03-06T19:36:00Z</dcterms:created>
  <dcterms:modified xsi:type="dcterms:W3CDTF">2018-04-14T20:47:00Z</dcterms:modified>
</cp:coreProperties>
</file>